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right"/>
      </w:pPr>
      <w:r>
        <w:rPr>
          <w:rFonts w:ascii="Calibri" w:hAnsi="Calibri"/>
          <w:b/>
          <w:color w:val="5A6773"/>
          <w:sz w:val="18"/>
        </w:rPr>
        <w:t>[PARTNER LOGO]</w:t>
      </w:r>
    </w:p>
    <w:p>
      <w:pPr>
        <w:spacing w:after="60"/>
      </w:pPr>
      <w:r>
        <w:rPr>
          <w:rFonts w:ascii="Calibri" w:hAnsi="Calibri"/>
          <w:b/>
          <w:color w:val="0B2545"/>
          <w:sz w:val="44"/>
        </w:rPr>
        <w:t>Katy Homebuyer HVAC</w:t>
        <w:br/>
        <w:t>Due-Diligence Checklist</w:t>
      </w:r>
    </w:p>
    <w:p>
      <w:pPr>
        <w:spacing w:after="160"/>
      </w:pPr>
      <w:r>
        <w:rPr>
          <w:rFonts w:ascii="Calibri" w:hAnsi="Calibri"/>
          <w:color w:val="5A6773"/>
          <w:sz w:val="21"/>
        </w:rPr>
        <w:t>A decision-support worksheet for the option period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PROPERTY: 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OPTION DEADLINE: __________________________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BUYER: 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INSPECTOR / HVAC REVIEW: ___________________</w:t>
            </w:r>
          </w:p>
        </w:tc>
      </w:tr>
    </w:tbl>
    <w:p>
      <w:pPr>
        <w:keepNext/>
        <w:spacing w:before="120" w:after="60"/>
      </w:pPr>
      <w:r>
        <w:rPr>
          <w:rFonts w:ascii="Calibri" w:hAnsi="Calibri"/>
          <w:b/>
          <w:color w:val="2E74B5"/>
          <w:sz w:val="21"/>
        </w:rPr>
        <w:t>1  EQUIPMENT + RECORDS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Photograph data plates: outdoor unit, indoor unit, coil, and every additional system.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Record brand, model, serial, printed manufacture date, install date, and warranty transfer terms.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Collect service invoices; flag repeat drains, repeat refrigerant additions, major parts, and deferred work.</w:t>
            </w:r>
          </w:p>
        </w:tc>
      </w:tr>
    </w:tbl>
    <w:p>
      <w:pPr>
        <w:keepNext/>
        <w:spacing w:before="120" w:after="60"/>
      </w:pPr>
      <w:r>
        <w:rPr>
          <w:rFonts w:ascii="Calibri" w:hAnsi="Calibri"/>
          <w:b/>
          <w:color w:val="2E74B5"/>
          <w:sz w:val="21"/>
        </w:rPr>
        <w:t>2  REFRIGERANT + MATCH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Record the exact refrigerant from the nameplate; do not infer it from age or color.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Ask for the proposal, startup sheet, equipment schedule, manufacturer match data, or AHRI certificate.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If component dates differ, document what changed and ask whether the current combination is supportable.</w:t>
            </w:r>
          </w:p>
        </w:tc>
      </w:tr>
    </w:tbl>
    <w:p>
      <w:pPr>
        <w:keepNext/>
        <w:spacing w:before="120" w:after="60"/>
      </w:pPr>
      <w:r>
        <w:rPr>
          <w:rFonts w:ascii="Calibri" w:hAnsi="Calibri"/>
          <w:b/>
          <w:color w:val="2E74B5"/>
          <w:sz w:val="21"/>
        </w:rPr>
        <w:t>3  DRAIN + OVERFLOW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Identify the primary drain, auxiliary pan, secondary drain, and/or overflow shutoff where present.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Flag water in the pan, rust, ceiling stains, patched areas, clogs, or previous water events.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Ask a qualified person to confirm the installed protection operates as intended.</w:t>
            </w:r>
          </w:p>
        </w:tc>
      </w:tr>
    </w:tbl>
    <w:p>
      <w:pPr>
        <w:keepNext/>
        <w:spacing w:before="120" w:after="60"/>
      </w:pPr>
      <w:r>
        <w:rPr>
          <w:rFonts w:ascii="Calibri" w:hAnsi="Calibri"/>
          <w:b/>
          <w:color w:val="2E74B5"/>
          <w:sz w:val="21"/>
        </w:rPr>
        <w:t>4  DUCTS + ATTIC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Note damaged, disconnected, crushed, kinked, sagging, or uninsulated accessible ducts.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Note absent airflow, sweating, water staining, suspect growth, or restricted service access.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List rooms with weak airflow or a history of uneven summer comfort.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F2FA"/>
          </w:tcPr>
          <w:p>
            <w:r>
              <w:rPr>
                <w:rFonts w:ascii="Calibri" w:hAnsi="Calibri"/>
                <w:b/>
                <w:color w:val="2E74B5"/>
                <w:sz w:val="17"/>
              </w:rPr>
              <w:t xml:space="preserve">HOME INSPECTOR SCOPE NOTE  </w:t>
            </w:r>
            <w:r>
              <w:rPr>
                <w:rFonts w:ascii="Calibri" w:hAnsi="Calibri"/>
                <w:color w:val="0B2545"/>
                <w:sz w:val="16"/>
              </w:rPr>
              <w:t>Texas inspectors report required accessible cooling, condensate, and duct deficiencies. They are not required to identify refrigerant, verify component matching or tonnage, determine sizing/efficiency, estimate remaining life, or provide repair costs.</w:t>
            </w:r>
          </w:p>
        </w:tc>
      </w:tr>
    </w:tbl>
    <w:p>
      <w:r>
        <w:br w:type="page"/>
      </w:r>
    </w:p>
    <w:p>
      <w:pPr>
        <w:pStyle w:val="Heading1"/>
        <w:spacing w:before="0"/>
      </w:pPr>
      <w:r>
        <w:t>Finish the review before the deadline</w:t>
      </w:r>
    </w:p>
    <w:p>
      <w:pPr>
        <w:keepNext/>
        <w:spacing w:before="120" w:after="60"/>
      </w:pPr>
      <w:r>
        <w:rPr>
          <w:rFonts w:ascii="Calibri" w:hAnsi="Calibri"/>
          <w:b/>
          <w:color w:val="2E74B5"/>
          <w:sz w:val="21"/>
        </w:rPr>
        <w:t>5  TEMPERATURE + HUMIDITY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Record the inspector's cooling-performance method, result, and conditions at the time.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Note thermostat humidity, condensation, odors, long run times, and room-to-room differences.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Treat one temperature differential as one observation - not proof of sizing, charge, balance, or life.</w:t>
            </w:r>
          </w:p>
        </w:tc>
      </w:tr>
    </w:tbl>
    <w:p>
      <w:pPr>
        <w:keepNext/>
        <w:spacing w:before="120" w:after="60"/>
      </w:pPr>
      <w:r>
        <w:rPr>
          <w:rFonts w:ascii="Calibri" w:hAnsi="Calibri"/>
          <w:b/>
          <w:color w:val="2E74B5"/>
          <w:sz w:val="21"/>
        </w:rPr>
        <w:t>6  PERMITS + LICENSE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Ask for permit number, final inspection, installation invoice, equipment schedule, and startup record.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Confirm the authority for the exact address; the Katy mailing area crosses jurisdictions.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Verify the responsible contractor and active license at tdlr.texas.gov/verify.htm.</w:t>
            </w:r>
          </w:p>
        </w:tc>
      </w:tr>
    </w:tbl>
    <w:p>
      <w:pPr>
        <w:keepNext/>
        <w:spacing w:before="120" w:after="60"/>
      </w:pPr>
      <w:r>
        <w:rPr>
          <w:rFonts w:ascii="Calibri" w:hAnsi="Calibri"/>
          <w:b/>
          <w:color w:val="2E74B5"/>
          <w:sz w:val="21"/>
        </w:rPr>
        <w:t>7  BEFORE THE DEADLINE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Write down the exact contract deadline and time; use your executed contract and professional advice.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Separate what the home inspector answered from questions outside the inspector's required scope.</w:t>
            </w:r>
          </w:p>
        </w:tc>
      </w:tr>
      <w:tr>
        <w:tc>
          <w:tcPr>
            <w:tcW w:type="dxa" w:w="42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jc w:val="center"/>
            </w:pPr>
            <w:r>
              <w:rPr>
                <w:rFonts w:ascii="Arial" w:hAnsi="Arial"/>
                <w:color w:val="247B7B"/>
                <w:sz w:val="22"/>
              </w:rPr>
              <w:t>□</w:t>
            </w:r>
          </w:p>
        </w:tc>
        <w:tc>
          <w:tcPr>
            <w:tcW w:type="dxa" w:w="8940"/>
            <w:vAlign w:val="top"/>
            <w:tcMar>
              <w:top w:w="35" w:type="dxa"/>
              <w:start w:w="40" w:type="dxa"/>
              <w:bottom w:w="35" w:type="dxa"/>
              <w:end w:w="80" w:type="dxa"/>
            </w:tcMar>
            <w:tcBorders>
              <w:bottom w:val="single" w:sz="4" w:space="0" w:color="E7EDF2"/>
            </w:tcBorders>
          </w:tcPr>
          <w:p>
            <w:pPr>
              <w:spacing w:after="20"/>
            </w:pPr>
            <w:r>
              <w:rPr>
                <w:rFonts w:ascii="Calibri" w:hAnsi="Calibri"/>
                <w:color w:val="222222"/>
                <w:sz w:val="17"/>
              </w:rPr>
              <w:t>Obtain needed specialist findings, written scope, price, warranty, and permit assumptions in time to act.</w:t>
            </w:r>
          </w:p>
        </w:tc>
      </w:tr>
    </w:tbl>
    <w:p>
      <w:pPr>
        <w:pStyle w:val="Heading2"/>
      </w:pPr>
      <w:r>
        <w:t>Questions to resolve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8940"/>
      </w:tblGrid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" w:hAnsi="Arial"/>
                <w:color w:val="247B7B"/>
                <w:sz w:val="20"/>
              </w:rPr>
              <w:t>□</w:t>
            </w:r>
          </w:p>
        </w:tc>
        <w:tc>
          <w:tcPr>
            <w:tcW w:type="dxa" w:w="8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sz w:val="17"/>
              </w:rPr>
              <w:t>Are every system's components and ages supported by labels or records?</w:t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" w:hAnsi="Arial"/>
                <w:color w:val="247B7B"/>
                <w:sz w:val="20"/>
              </w:rPr>
              <w:t>□</w:t>
            </w:r>
          </w:p>
        </w:tc>
        <w:tc>
          <w:tcPr>
            <w:tcW w:type="dxa" w:w="8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sz w:val="17"/>
              </w:rPr>
              <w:t>Is the indoor/outdoor combination approved or otherwise technically supportable?</w:t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" w:hAnsi="Arial"/>
                <w:color w:val="247B7B"/>
                <w:sz w:val="20"/>
              </w:rPr>
              <w:t>□</w:t>
            </w:r>
          </w:p>
        </w:tc>
        <w:tc>
          <w:tcPr>
            <w:tcW w:type="dxa" w:w="8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sz w:val="17"/>
              </w:rPr>
              <w:t>Do repeat repairs, refrigerant additions, water events, or comfort complaints need diagnosis?</w:t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" w:hAnsi="Arial"/>
                <w:color w:val="247B7B"/>
                <w:sz w:val="20"/>
              </w:rPr>
              <w:t>□</w:t>
            </w:r>
          </w:p>
        </w:tc>
        <w:tc>
          <w:tcPr>
            <w:tcW w:type="dxa" w:w="8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sz w:val="17"/>
              </w:rPr>
              <w:t>Are drain/overflow protections and accessible ducts performing as intended?</w:t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" w:hAnsi="Arial"/>
                <w:color w:val="247B7B"/>
                <w:sz w:val="20"/>
              </w:rPr>
              <w:t>□</w:t>
            </w:r>
          </w:p>
        </w:tc>
        <w:tc>
          <w:tcPr>
            <w:tcW w:type="dxa" w:w="8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sz w:val="17"/>
              </w:rPr>
              <w:t>Are permit/final records reconciled and is the responsible TDLR license active?</w:t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" w:hAnsi="Arial"/>
                <w:color w:val="247B7B"/>
                <w:sz w:val="20"/>
              </w:rPr>
              <w:t>□</w:t>
            </w:r>
          </w:p>
        </w:tc>
        <w:tc>
          <w:tcPr>
            <w:tcW w:type="dxa" w:w="8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sz w:val="17"/>
              </w:rPr>
              <w:t>Do you have written findings, options, prices, warranties, and enough time to act?</w:t>
            </w:r>
          </w:p>
        </w:tc>
      </w:tr>
    </w:tbl>
    <w:p>
      <w:pPr>
        <w:pStyle w:val="Heading2"/>
      </w:pPr>
      <w:r>
        <w:t>Partner contact</w:t>
      </w:r>
    </w:p>
    <w:p>
      <w:pPr>
        <w:spacing w:after="40"/>
      </w:pPr>
      <w:r>
        <w:rPr>
          <w:rFonts w:ascii="Calibri" w:hAnsi="Calibri"/>
          <w:b/>
          <w:color w:val="0B2545"/>
          <w:sz w:val="17"/>
        </w:rPr>
        <w:t>[PARTNER NAME / TEAM]  |  [PHONE]  |  [EMAIL]  |  [WEBSITE]</w:t>
      </w:r>
    </w:p>
    <w:p>
      <w:pPr>
        <w:spacing w:before="100"/>
      </w:pPr>
      <w:r>
        <w:rPr>
          <w:rFonts w:ascii="Calibri" w:hAnsi="Calibri"/>
          <w:b/>
          <w:color w:val="0B2545"/>
          <w:sz w:val="15"/>
        </w:rPr>
        <w:t xml:space="preserve">Official references: </w:t>
      </w:r>
      <w:hyperlink r:id="rId11">
        <w:r>
          <w:rPr>
            <w:color w:val="2E74B5"/>
            <w:u w:val="single"/>
            <w:rFonts w:ascii="Calibri" w:hAnsi="Calibri"/>
          </w:rPr>
          <w:t>TREC Standards</w:t>
        </w:r>
      </w:hyperlink>
      <w:r>
        <w:t xml:space="preserve">  |  </w:t>
      </w:r>
      <w:hyperlink r:id="rId12">
        <w:r>
          <w:rPr>
            <w:color w:val="2E74B5"/>
            <w:u w:val="single"/>
            <w:rFonts w:ascii="Calibri" w:hAnsi="Calibri"/>
          </w:rPr>
          <w:t>TDLR ACR</w:t>
        </w:r>
      </w:hyperlink>
      <w:r>
        <w:t xml:space="preserve">  |  </w:t>
      </w:r>
      <w:hyperlink r:id="rId13">
        <w:r>
          <w:rPr>
            <w:color w:val="2E74B5"/>
            <w:u w:val="single"/>
            <w:rFonts w:ascii="Calibri" w:hAnsi="Calibri"/>
          </w:rPr>
          <w:t>TDLR Verify</w:t>
        </w:r>
      </w:hyperlink>
      <w:r>
        <w:t xml:space="preserve">  |  </w:t>
      </w:r>
      <w:hyperlink r:id="rId14">
        <w:r>
          <w:rPr>
            <w:color w:val="2E74B5"/>
            <w:u w:val="single"/>
            <w:rFonts w:ascii="Calibri" w:hAnsi="Calibri"/>
          </w:rPr>
          <w:t>EPA R-22</w:t>
        </w:r>
      </w:hyperlink>
      <w:r>
        <w:t xml:space="preserve">  |  </w:t>
      </w:r>
      <w:hyperlink r:id="rId15">
        <w:r>
          <w:rPr>
            <w:color w:val="2E74B5"/>
            <w:u w:val="single"/>
            <w:rFonts w:ascii="Calibri" w:hAnsi="Calibri"/>
          </w:rPr>
          <w:t>AHRI Directory</w:t>
        </w:r>
      </w:hyperlink>
      <w:r>
        <w:t xml:space="preserve">  |  </w:t>
      </w:r>
    </w:p>
    <w:p>
      <w:pPr>
        <w:spacing w:before="100"/>
      </w:pPr>
      <w:r>
        <w:rPr>
          <w:rFonts w:ascii="Calibri" w:hAnsi="Calibri"/>
          <w:i/>
          <w:color w:val="5A6773"/>
          <w:sz w:val="14"/>
        </w:rPr>
        <w:t>Customize the logo and contact fields only with partner approval. This guide is not an inspection, diagnosis, code review, legal advice, or a deadline calculator. Service requests to Katy Air Conditioning are fulfilled by independent local HVAC professionals.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773"/>
        <w:sz w:val="16"/>
      </w:rPr>
      <w:t xml:space="preserve">katyairconditioning.com  |  (281) 671-9559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8" w:space="4" w:color="D6E0E8"/>
      </w:pBdr>
    </w:pPr>
    <w:r>
      <w:rPr>
        <w:rFonts w:ascii="Calibri" w:hAnsi="Calibri"/>
        <w:b/>
        <w:color w:val="2E74B5"/>
        <w:sz w:val="16"/>
      </w:rPr>
      <w:t>[PARTNER NAME]  +  KATY AIR CONDITIONING</w:t>
    </w:r>
    <w:r>
      <w:rPr>
        <w:rFonts w:ascii="Calibri" w:hAnsi="Calibri"/>
        <w:color w:val="5A6773"/>
        <w:sz w:val="16"/>
      </w:rPr>
      <w:t xml:space="preserve">    CO-BRANDABLE EDITION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B2545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20"/>
    </w:pPr>
    <w:rPr>
      <w:rFonts w:asciiTheme="majorHAnsi" w:eastAsiaTheme="majorEastAsia" w:hAnsiTheme="majorHAnsi" w:cstheme="majorBidi" w:ascii="Calibri" w:hAnsi="Calibri"/>
      <w:i/>
      <w:iCs/>
      <w:color w:val="5A677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trec.texas.gov/online-sops" TargetMode="External"/><Relationship Id="rId12" Type="http://schemas.openxmlformats.org/officeDocument/2006/relationships/hyperlink" Target="https://www.tdlr.texas.gov/acr/" TargetMode="External"/><Relationship Id="rId13" Type="http://schemas.openxmlformats.org/officeDocument/2006/relationships/hyperlink" Target="https://www.tdlr.texas.gov/verify.htm" TargetMode="External"/><Relationship Id="rId14" Type="http://schemas.openxmlformats.org/officeDocument/2006/relationships/hyperlink" Target="https://www.epa.gov/ods-phaseout/homeowners-and-consumers-frequently-asked-questions" TargetMode="External"/><Relationship Id="rId15" Type="http://schemas.openxmlformats.org/officeDocument/2006/relationships/hyperlink" Target="https://www.ahridirecto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Katy Homebuyer HVAC Due-Diligence Checklist - Partner Edition</dc:title>
  <dc:subject/>
  <dc:creator>Katy Air Conditioning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